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пенсионера,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18810586240610101407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по обстоятельствам выявленного правонарушения пояснил, что на сайт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» ему пришло письмо с двумя постановлениями, но, то что в одном письме имелось два вложения, он узнал позже, когда заблокировали его счета. </w:t>
      </w:r>
      <w:r>
        <w:rPr>
          <w:rFonts w:ascii="Times New Roman" w:eastAsia="Times New Roman" w:hAnsi="Times New Roman" w:cs="Times New Roman"/>
        </w:rPr>
        <w:t>Когда начал разбираться по поводу блокировки счетов</w:t>
      </w:r>
      <w:r>
        <w:rPr>
          <w:rFonts w:ascii="Times New Roman" w:eastAsia="Times New Roman" w:hAnsi="Times New Roman" w:cs="Times New Roman"/>
        </w:rPr>
        <w:t xml:space="preserve"> выяснилось, что он не заметил второго постановления в почтовом отправлении и оплатил штраф по одному постановлению. По постановлению №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18810586240610101407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штраф им оплачен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18810586240610101407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18810586240610101407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№18810886250920010777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18810586240610101407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0412365400725002612520180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ExternalSystemDefinedgrp-24rplc-20">
    <w:name w:val="cat-ExternalSystemDefined grp-2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